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30.png" ContentType="image/png"/>
  <Override PartName="/word/media/rId28.png" ContentType="image/png"/>
  <Override PartName="/word/media/rId27.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There are a total of 116 educational programmes on RT available across all the GPs that are part of the RCA programme. from the 17 GPs for which an educational programme is available, 8 (47%) reported that RCA contributed to a great extent in their establishment, and 6 reported that RCA’s support contributed to some extent.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36" w:name="X940d1405c999df935295e70f16aa4202a29b61f"/>
    <w:p>
      <w:pPr>
        <w:pStyle w:val="Heading1"/>
      </w:pPr>
      <w:r>
        <w:t xml:space="preserve">Criterion 1: Strengthened radiotherapy workforce</w:t>
      </w:r>
    </w:p>
    <w:p>
      <w:pPr>
        <w:pStyle w:val="FirstParagraph"/>
      </w:pPr>
      <w:r>
        <w:rPr>
          <w:bCs/>
          <w:b/>
        </w:rPr>
        <w:t xml:space="preserve">Strengthened radiotherapy workforce</w:t>
      </w:r>
      <w:r>
        <w:rPr>
          <w:bCs/>
          <w:b/>
        </w:rPr>
        <w:t xml:space="preserve"> </w:t>
      </w:r>
    </w:p>
    <w:p>
      <w:pPr>
        <w:numPr>
          <w:ilvl w:val="0"/>
          <w:numId w:val="1003"/>
        </w:numPr>
      </w:pPr>
      <w:r>
        <w:t xml:space="preserve">Achieve self-reliance in RT, including offering educational training programmes, and establishing Radio Oncology (RO) Departments and Societies.</w:t>
      </w:r>
    </w:p>
    <w:p>
      <w:pPr>
        <w:numPr>
          <w:ilvl w:val="0"/>
          <w:numId w:val="1003"/>
        </w:numPr>
      </w:pPr>
      <w:r>
        <w:t xml:space="preserve">Establish GP’s infrastructure to produce RT specialists in Radiation Oncology, Radiation Oncologists, Medical Physicists, Radiation Technology Therapists, and Radiation Oncology Nurses.</w:t>
      </w:r>
    </w:p>
    <w:bookmarkStart w:id="33" w:name="X5338799d82723aa9c52059c6c357f276ebbb9fd"/>
    <w:p>
      <w:pPr>
        <w:pStyle w:val="Heading2"/>
      </w:pPr>
      <w:r>
        <w:t xml:space="preserve">Criterion 1.1 Achieve self-reliance in RT</w:t>
      </w:r>
    </w:p>
    <w:p>
      <w:pPr>
        <w:pStyle w:val="FirstParagraph"/>
      </w:pPr>
      <w:r>
        <w:t xml:space="preserve">To have an approximation of the self-reliance in RT of each GP to strength its radiotherapy workforce, the number of educational/training programmes on RT, Radiation Oncology (RO) Departments, and RO Societies that are available in country was estimated.</w:t>
      </w:r>
    </w:p>
    <w:p>
      <w:pPr>
        <w:pStyle w:val="BodyText"/>
      </w:pPr>
      <w:r>
        <w:t xml:space="preserve">As can be seen in Figure</w:t>
      </w:r>
      <w:r>
        <w:t xml:space="preserve"> </w:t>
      </w:r>
      <w:r>
        <w:t xml:space="preserve">2</w:t>
      </w:r>
      <w:r>
        <w:t xml:space="preserve">,</w:t>
      </w:r>
      <w:r>
        <w:t xml:space="preserve"> </w:t>
      </w:r>
      <w:r>
        <w:rPr>
          <w:bCs/>
          <w:b/>
        </w:rPr>
        <w:t xml:space="preserve">there are a total of 116 educational programmes on RT available across all the GPs that are part of the RCA programme</w:t>
      </w:r>
      <w:r>
        <w:t xml:space="preserve">. Vietnam and China are the countries where more programmes (20) are on RT are available, followed by South Korea and Japan where 15 and 10 educational programmes are available.</w:t>
      </w:r>
    </w:p>
    <w:p>
      <w:pPr>
        <w:pStyle w:val="BodyText"/>
      </w:pPr>
      <w:r>
        <w:t xml:space="preserve">According to the responses of the GPS, there are none training programmes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p>
      <w:pPr>
        <w:pStyle w:val="BodyText"/>
      </w:pPr>
      <w:r>
        <w:t xml:space="preserve">Moreover,</w:t>
      </w:r>
      <w:r>
        <w:t xml:space="preserve"> </w:t>
      </w:r>
      <w:r>
        <w:rPr>
          <w:bCs/>
          <w:b/>
        </w:rPr>
        <w:t xml:space="preserve">there a total of 3,215 Radiation Oncology (RO) Departments across all the GPs</w:t>
      </w:r>
      <w:r>
        <w:t xml:space="preserve">. From all those departments 45.5% are located in China, 22.9% in Japan, and in India. Figure</w:t>
      </w:r>
      <w:r>
        <w:t xml:space="preserve"> </w:t>
      </w:r>
      <w:r>
        <w:t xml:space="preserve">3</w:t>
      </w:r>
      <w:r>
        <w:t xml:space="preserve"> </w:t>
      </w:r>
      <w:r>
        <w:t xml:space="preserve">shows the number of RO Deparments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8"/>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p>
      <w:pPr>
        <w:pStyle w:val="BodyText"/>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Start w:id="31" w:name="Xe15241f7a83298b955575e9def7c635d2432d63"/>
    <w:p>
      <w:pPr>
        <w:pStyle w:val="Heading3"/>
      </w:pPr>
      <w:r>
        <w:t xml:space="preserve">Contribution of the RT RCA in Achieve self-reliance in RT</w:t>
      </w:r>
    </w:p>
    <w:p>
      <w:pPr>
        <w:pStyle w:val="FirstParagraph"/>
      </w:pPr>
      <w:r>
        <w:t xml:space="preserve">To assess the contribution of RCA in the establishment of training programmes, RO departments, and RO societies, the participants of the online survey were asked the extent to which they perceive that the RCA has contributed to the establishment of these centres in their countries. The main findings in this respect are the following:</w:t>
      </w:r>
    </w:p>
    <w:p>
      <w:pPr>
        <w:numPr>
          <w:ilvl w:val="0"/>
          <w:numId w:val="1004"/>
        </w:numPr>
      </w:pPr>
      <w:r>
        <w:rPr>
          <w:bCs/>
          <w:b/>
        </w:rPr>
        <w:t xml:space="preserve">From the 17 GPs for which a training programme is available in their countries, 8 (47%) reported that RCA contributed to a great extent in their establishment, and 6 GPs consider that RCA’s support contributed to some extent</w:t>
      </w:r>
      <w:r>
        <w:t xml:space="preserve">. 2 countries reported that RCA the training programmes could have been available even without the support from RCA, one of this countries is New Zealand which is a non-recipient country. The contribution of RCA in the establishment of RO Departments and Societies is the following:</w:t>
      </w:r>
    </w:p>
    <w:p>
      <w:pPr>
        <w:numPr>
          <w:ilvl w:val="0"/>
          <w:numId w:val="1004"/>
        </w:numPr>
      </w:pPr>
      <w:r>
        <w:t xml:space="preserve">73% of the GPs where an RO Department has been established reported that RCA contributed to a certain extent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4"/>
        </w:numPr>
      </w:pPr>
      <w:r>
        <w:t xml:space="preserve">China, Japan, Mongolia,Philippines, and Sri Lanka, Vietnam reported that RCA contribution was key to the establishment of the RO societies.</w:t>
      </w:r>
    </w:p>
    <w:p>
      <w:pPr>
        <w:numPr>
          <w:ilvl w:val="0"/>
          <w:numId w:val="1004"/>
        </w:numPr>
      </w:pPr>
      <w:r>
        <w:t xml:space="preserve">Although Laos and Palau have not established any of this infrastructure, this is expected because they joined RCA in 2018 and 2019 respectively.</w:t>
      </w:r>
    </w:p>
    <w:p>
      <w:pPr>
        <w:pStyle w:val="FirstParagraph"/>
      </w:pPr>
      <w:r>
        <w:t xml:space="preserve">The detailed contribution of RCA to the GP’s self-reliance can be seen in Figure</w:t>
      </w:r>
      <w:r>
        <w:t xml:space="preserve"> </w:t>
      </w:r>
      <w:r>
        <w:t xml:space="preserve">5</w:t>
      </w:r>
      <w:r>
        <w:t xml:space="preserve">.</w:t>
      </w:r>
      <w:r>
        <w:t xml:space="preserve"> </w:t>
      </w:r>
      <w:r>
        <w:rPr>
          <w:iCs/>
          <w:i/>
        </w:rPr>
        <w:t xml:space="preserve">The empty squares in the chart indicate that those GPs did not provide information to the online survey for either the number of available infrastructure or on their perception of RCA’s contribution in this topic.</w:t>
      </w:r>
    </w:p>
    <w:p>
      <w:pPr>
        <w:pStyle w:val="CaptionedFigure"/>
      </w:pPr>
      <w:r>
        <w:drawing>
          <wp:inline>
            <wp:extent cx="5219700" cy="1579170"/>
            <wp:effectExtent b="0" l="0" r="0" t="0"/>
            <wp:docPr descr="Figure 5: RCA contribution to self-rliance in RT" title="" id="1" name="Picture"/>
            <a:graphic>
              <a:graphicData uri="http://schemas.openxmlformats.org/drawingml/2006/picture">
                <pic:pic>
                  <pic:nvPicPr>
                    <pic:cNvPr descr="plots/1.criterion/contribuion_trained.png" id="0" name="Picture"/>
                    <pic:cNvPicPr>
                      <a:picLocks noChangeArrowheads="1" noChangeAspect="1"/>
                    </pic:cNvPicPr>
                  </pic:nvPicPr>
                  <pic:blipFill>
                    <a:blip r:embed="rId30"/>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5: RCA contribution to self-rliance in RT</w:t>
      </w:r>
    </w:p>
    <w:p>
      <w:pPr>
        <w:pStyle w:val="BodyText"/>
      </w:pPr>
      <w:r>
        <w:rPr>
          <w:iCs/>
          <w:i/>
        </w:rPr>
        <w:t xml:space="preserve">train_cont dep_cont soc_cont</w:t>
      </w:r>
    </w:p>
    <w:bookmarkEnd w:id="31"/>
    <w:bookmarkStart w:id="32" w:name="X07db2e10d5addfe91cbd00298c9d77e955fcb52"/>
    <w:p>
      <w:pPr>
        <w:pStyle w:val="Heading3"/>
      </w:pPr>
      <w:r>
        <w:t xml:space="preserve">Performance standards of Educational programmes</w:t>
      </w:r>
    </w:p>
    <w:p>
      <w:pPr>
        <w:numPr>
          <w:ilvl w:val="0"/>
          <w:numId w:val="1005"/>
        </w:numPr>
      </w:pPr>
      <w:r>
        <w:rPr>
          <w:bCs/>
          <w:b/>
        </w:rPr>
        <w:t xml:space="preserve">Adequate</w:t>
      </w:r>
      <w:r>
        <w:t xml:space="preserve">: RCA contributed to the GPs has at least one of the EP, RO dep, NS</w:t>
      </w:r>
    </w:p>
    <w:p>
      <w:pPr>
        <w:numPr>
          <w:ilvl w:val="0"/>
          <w:numId w:val="1005"/>
        </w:numPr>
      </w:pPr>
      <w:r>
        <w:rPr>
          <w:bCs/>
          <w:b/>
        </w:rPr>
        <w:t xml:space="preserve">Good</w:t>
      </w:r>
      <w:r>
        <w:t xml:space="preserve">: the GPs has two of the EP, RO dep, NS</w:t>
      </w:r>
    </w:p>
    <w:p>
      <w:pPr>
        <w:numPr>
          <w:ilvl w:val="0"/>
          <w:numId w:val="1005"/>
        </w:numPr>
      </w:pPr>
      <w:r>
        <w:rPr>
          <w:bCs/>
          <w:b/>
        </w:rPr>
        <w:t xml:space="preserve">Excellent</w:t>
      </w:r>
      <w:r>
        <w:t xml:space="preserve"> </w:t>
      </w:r>
      <w:r>
        <w:t xml:space="preserve">: the GPs all of the EP, RO dep, NS</w:t>
      </w:r>
    </w:p>
    <w:bookmarkEnd w:id="32"/>
    <w:bookmarkEnd w:id="33"/>
    <w:bookmarkStart w:id="34" w:name="X3b291e9a0477acea1724dae4b503022bfa6d092"/>
    <w:p>
      <w:pPr>
        <w:pStyle w:val="Heading2"/>
      </w:pPr>
      <w:r>
        <w:t xml:space="preserve">1.2 Establish GP’s infrastructure to produce RT specialists</w:t>
      </w:r>
    </w:p>
    <w:bookmarkEnd w:id="34"/>
    <w:bookmarkStart w:id="35" w:name="X1bbfbb38d8eda6223f3cb7b43e72064d7d7ce46"/>
    <w:p>
      <w:pPr>
        <w:pStyle w:val="Heading2"/>
      </w:pPr>
      <w:r>
        <w:t xml:space="preserve">Contribution of the RCA in certified personnel</w:t>
      </w:r>
    </w:p>
    <w:p>
      <w:pPr>
        <w:numPr>
          <w:ilvl w:val="0"/>
          <w:numId w:val="1006"/>
        </w:numPr>
      </w:pPr>
      <w:r>
        <w:t xml:space="preserve">Number of RT specialist by year (dodged) and by field (facet)</w:t>
      </w:r>
      <w:r>
        <w:t xml:space="preserve"> </w:t>
      </w:r>
      <w:r>
        <w:t xml:space="preserve">*roster spec2000 tot_2000 and roster spec2020 tot_2020**</w:t>
      </w:r>
    </w:p>
    <w:p>
      <w:pPr>
        <w:numPr>
          <w:ilvl w:val="0"/>
          <w:numId w:val="1006"/>
        </w:numPr>
      </w:pPr>
      <w:r>
        <w:t xml:space="preserve">% of certified : another chart with % certified by year (dodged) and by field (facet) (?) -</w:t>
      </w:r>
      <w:r>
        <w:t xml:space="preserve"> </w:t>
      </w:r>
      <w:r>
        <w:rPr>
          <w:iCs/>
          <w:i/>
        </w:rPr>
        <w:t xml:space="preserve">cert_2000/tot_2000 and cert_2020/tot_2020</w:t>
      </w:r>
    </w:p>
    <w:p>
      <w:pPr>
        <w:numPr>
          <w:ilvl w:val="0"/>
          <w:numId w:val="1006"/>
        </w:numPr>
      </w:pPr>
      <w:r>
        <w:t xml:space="preserve">extent did the RCA RT programme contribute to the increase of certified RT specialists between 2000 and 2020</w:t>
      </w:r>
      <w:r>
        <w:t xml:space="preserve"> </w:t>
      </w:r>
      <w:r>
        <w:rPr>
          <w:iCs/>
          <w:i/>
        </w:rPr>
        <w:t xml:space="preserve">spec_cont</w:t>
      </w:r>
    </w:p>
    <w:p>
      <w:pPr>
        <w:numPr>
          <w:ilvl w:val="0"/>
          <w:numId w:val="1006"/>
        </w:numPr>
      </w:pPr>
      <w:r>
        <w:t xml:space="preserve">Adequate: Any increase in certfied</w:t>
      </w:r>
    </w:p>
    <w:p>
      <w:pPr>
        <w:numPr>
          <w:ilvl w:val="0"/>
          <w:numId w:val="1006"/>
        </w:numPr>
      </w:pPr>
      <w:r>
        <w:t xml:space="preserve">Good : Some increase in certified</w:t>
      </w:r>
    </w:p>
    <w:p>
      <w:pPr>
        <w:numPr>
          <w:ilvl w:val="0"/>
          <w:numId w:val="1006"/>
        </w:numPr>
      </w:pPr>
      <w:r>
        <w:t xml:space="preserve">Excellent: Significant increased in personnel</w:t>
      </w:r>
    </w:p>
    <w:p>
      <w:pPr>
        <w:pStyle w:val="FirstParagraph"/>
      </w:pPr>
      <w:r>
        <w:t xml:space="preserve">train_cont (contribution of RCA on educational programmes)</w:t>
      </w:r>
      <w:r>
        <w:t xml:space="preserve"> </w:t>
      </w:r>
      <w:r>
        <w:t xml:space="preserve">dep_cont (contribution to RO)</w:t>
      </w:r>
      <w:r>
        <w:t xml:space="preserve"> </w:t>
      </w:r>
      <w:r>
        <w:t xml:space="preserve">soc_cont (contribution of societies)</w:t>
      </w:r>
    </w:p>
    <w:p>
      <w:r>
        <w:br w:type="page"/>
      </w:r>
    </w:p>
    <w:bookmarkEnd w:id="35"/>
    <w:bookmarkEnd w:id="36"/>
    <w:bookmarkStart w:id="37" w:name="X238e5af493dbc97463fa1d2b4c3174d09e408b7"/>
    <w:p>
      <w:pPr>
        <w:pStyle w:val="Heading1"/>
      </w:pPr>
      <w:r>
        <w:t xml:space="preserve">Criterion 2: Increased access to quality radiotherapy</w:t>
      </w:r>
    </w:p>
    <w:p>
      <w:r>
        <w:br w:type="page"/>
      </w:r>
    </w:p>
    <w:bookmarkEnd w:id="37"/>
    <w:bookmarkStart w:id="38" w:name="Xcfb90c85baeab4a666204a6a3d57aba031ab040"/>
    <w:p>
      <w:pPr>
        <w:pStyle w:val="Heading1"/>
      </w:pPr>
      <w:r>
        <w:t xml:space="preserve">Criterion 3: Increased life span and quality of life</w:t>
      </w:r>
    </w:p>
    <w:p>
      <w:r>
        <w:br w:type="page"/>
      </w:r>
    </w:p>
    <w:bookmarkEnd w:id="38"/>
    <w:bookmarkStart w:id="39" w:name="overall-impact-of-the-rt-rca-programme"/>
    <w:p>
      <w:pPr>
        <w:pStyle w:val="Heading1"/>
      </w:pPr>
      <w:r>
        <w:t xml:space="preserve">Overall impact of the RT RCA programme</w:t>
      </w:r>
    </w:p>
    <w:bookmarkEnd w:id="39"/>
    <w:bookmarkStart w:id="40"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7"/>
              </w:numPr>
              <w:jc w:val="left"/>
            </w:pPr>
            <w:r>
              <w:t xml:space="preserve">NDT Society is registered with APFNDT and ICNDT</w:t>
            </w:r>
          </w:p>
          <w:p>
            <w:pPr>
              <w:numPr>
                <w:ilvl w:val="0"/>
                <w:numId w:val="1007"/>
              </w:numPr>
              <w:jc w:val="left"/>
            </w:pPr>
            <w:r>
              <w:t xml:space="preserve">The society is a signatory to ICNDT MRA</w:t>
            </w:r>
          </w:p>
          <w:p>
            <w:pPr>
              <w:numPr>
                <w:ilvl w:val="0"/>
                <w:numId w:val="1007"/>
              </w:numPr>
              <w:jc w:val="left"/>
            </w:pPr>
            <w:r>
              <w:t xml:space="preserve">NCB for NDT accredited to ISO 17024</w:t>
            </w:r>
          </w:p>
          <w:p>
            <w:pPr>
              <w:numPr>
                <w:ilvl w:val="0"/>
                <w:numId w:val="1007"/>
              </w:numPr>
              <w:jc w:val="left"/>
            </w:pPr>
            <w:r>
              <w:t xml:space="preserve">NCB accepted for registration under the ICNDT MRA</w:t>
            </w:r>
          </w:p>
          <w:p>
            <w:pPr>
              <w:numPr>
                <w:ilvl w:val="0"/>
                <w:numId w:val="1007"/>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8"/>
              </w:numPr>
              <w:jc w:val="left"/>
            </w:pPr>
            <w:r>
              <w:t xml:space="preserve">NDT Society has been established</w:t>
            </w:r>
          </w:p>
          <w:p>
            <w:pPr>
              <w:numPr>
                <w:ilvl w:val="0"/>
                <w:numId w:val="1008"/>
              </w:numPr>
              <w:jc w:val="left"/>
            </w:pPr>
            <w:r>
              <w:t xml:space="preserve">National certification body on NDT has been established.</w:t>
            </w:r>
          </w:p>
          <w:p>
            <w:pPr>
              <w:numPr>
                <w:ilvl w:val="0"/>
                <w:numId w:val="1008"/>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40"/>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2021-09-17T15:47:22Z</dcterms:created>
  <dcterms:modified xsi:type="dcterms:W3CDTF">2021-09-17T15:47:22Z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